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612" w:rsidRPr="00713612" w:rsidRDefault="00713612" w:rsidP="00713612">
      <w:pPr>
        <w:spacing w:after="0" w:line="240" w:lineRule="auto"/>
        <w:jc w:val="both"/>
        <w:rPr>
          <w:b/>
        </w:rPr>
      </w:pPr>
      <w:r>
        <w:rPr>
          <w:b/>
        </w:rPr>
        <w:t>An indicative list of e</w:t>
      </w:r>
      <w:r w:rsidRPr="00713612">
        <w:rPr>
          <w:b/>
        </w:rPr>
        <w:t>mployment and labour market policy responses</w:t>
      </w:r>
    </w:p>
    <w:p w:rsidR="00713612" w:rsidRPr="001038DF" w:rsidRDefault="00713612" w:rsidP="001038DF">
      <w:pPr>
        <w:spacing w:after="0" w:line="240" w:lineRule="auto"/>
        <w:jc w:val="both"/>
        <w:rPr>
          <w:b/>
        </w:rPr>
      </w:pPr>
    </w:p>
    <w:p w:rsidR="00C33346" w:rsidRDefault="00713612" w:rsidP="00713612">
      <w:pPr>
        <w:pStyle w:val="ListParagraph"/>
        <w:spacing w:after="0" w:line="240" w:lineRule="auto"/>
        <w:ind w:left="0"/>
        <w:jc w:val="both"/>
      </w:pPr>
      <w:r w:rsidRPr="00713612">
        <w:t xml:space="preserve">The policy response </w:t>
      </w:r>
      <w:r w:rsidR="001E61E9">
        <w:t>to</w:t>
      </w:r>
      <w:r w:rsidRPr="00713612">
        <w:t xml:space="preserve"> Covid-19 has been fast</w:t>
      </w:r>
      <w:r w:rsidR="00183B1A">
        <w:t>, large and wide-ranging</w:t>
      </w:r>
      <w:r w:rsidRPr="00713612">
        <w:t xml:space="preserve"> especially in advanced economies</w:t>
      </w:r>
      <w:r w:rsidR="00183B1A">
        <w:t xml:space="preserve">, with the </w:t>
      </w:r>
      <w:r w:rsidR="00183B1A">
        <w:t xml:space="preserve">overall objective </w:t>
      </w:r>
      <w:r w:rsidR="00183B1A">
        <w:t>of s</w:t>
      </w:r>
      <w:r w:rsidR="00183B1A">
        <w:t>aving lives and maintain</w:t>
      </w:r>
      <w:r w:rsidR="00183B1A">
        <w:t>ing</w:t>
      </w:r>
      <w:r w:rsidR="00183B1A">
        <w:t xml:space="preserve"> conditions for a </w:t>
      </w:r>
      <w:r w:rsidR="001038DF">
        <w:t>forceful</w:t>
      </w:r>
      <w:r w:rsidR="00183B1A">
        <w:t xml:space="preserve"> recovery as soon as the pandemic </w:t>
      </w:r>
      <w:r w:rsidR="00183B1A">
        <w:t>gets</w:t>
      </w:r>
      <w:r w:rsidR="00183B1A">
        <w:t xml:space="preserve"> under control</w:t>
      </w:r>
      <w:r w:rsidRPr="00713612">
        <w:t xml:space="preserve">. </w:t>
      </w:r>
    </w:p>
    <w:p w:rsidR="00C33346" w:rsidRDefault="00C33346" w:rsidP="00713612">
      <w:pPr>
        <w:pStyle w:val="ListParagraph"/>
        <w:spacing w:after="0" w:line="240" w:lineRule="auto"/>
        <w:ind w:left="0"/>
        <w:jc w:val="both"/>
      </w:pPr>
    </w:p>
    <w:p w:rsidR="009051A6" w:rsidRDefault="00313A64" w:rsidP="00713612">
      <w:pPr>
        <w:pStyle w:val="ListParagraph"/>
        <w:spacing w:after="0" w:line="240" w:lineRule="auto"/>
        <w:ind w:left="0"/>
        <w:jc w:val="both"/>
      </w:pPr>
      <w:r>
        <w:t xml:space="preserve">In general, the </w:t>
      </w:r>
      <w:r w:rsidR="00713612">
        <w:t>focus has been on health measures</w:t>
      </w:r>
      <w:r w:rsidR="001E61E9">
        <w:t>, employment retention</w:t>
      </w:r>
      <w:r w:rsidR="00713612">
        <w:t xml:space="preserve"> and </w:t>
      </w:r>
      <w:r w:rsidR="001E61E9">
        <w:t>targeted fiscal</w:t>
      </w:r>
      <w:r w:rsidR="00713612">
        <w:t xml:space="preserve"> support </w:t>
      </w:r>
      <w:r w:rsidR="001E61E9">
        <w:t xml:space="preserve">to </w:t>
      </w:r>
      <w:r w:rsidR="00F962EC">
        <w:t xml:space="preserve">affected </w:t>
      </w:r>
      <w:r w:rsidR="001E61E9">
        <w:t xml:space="preserve">workers and firms. </w:t>
      </w:r>
      <w:r w:rsidR="00C33346">
        <w:t xml:space="preserve">Measures to contain the indirect macroeconomic effects have mainly </w:t>
      </w:r>
      <w:r w:rsidR="00183B1A">
        <w:t xml:space="preserve">focused </w:t>
      </w:r>
      <w:r w:rsidR="001E61E9">
        <w:t xml:space="preserve">mainly </w:t>
      </w:r>
      <w:r w:rsidR="00183B1A">
        <w:t>on maintaining cr</w:t>
      </w:r>
      <w:r w:rsidR="00713612">
        <w:t xml:space="preserve">edit lines open </w:t>
      </w:r>
      <w:r w:rsidR="009051A6">
        <w:t>for firms</w:t>
      </w:r>
      <w:r w:rsidR="00F962EC">
        <w:t xml:space="preserve">, </w:t>
      </w:r>
      <w:r w:rsidR="00C33346">
        <w:t>ensuring</w:t>
      </w:r>
      <w:r w:rsidR="00713612">
        <w:t xml:space="preserve"> financial markets stability</w:t>
      </w:r>
      <w:r w:rsidR="00F962EC">
        <w:t xml:space="preserve"> and (in emerging economies) prevent</w:t>
      </w:r>
      <w:r w:rsidR="00C33346">
        <w:t>ing</w:t>
      </w:r>
      <w:r w:rsidR="00F962EC">
        <w:t xml:space="preserve"> capital flight and currency appreciation</w:t>
      </w:r>
      <w:r w:rsidR="009051A6">
        <w:t>.</w:t>
      </w:r>
      <w:r w:rsidR="00F962EC">
        <w:t xml:space="preserve"> </w:t>
      </w:r>
      <w:r w:rsidR="00C33346">
        <w:t>Fiscal stimuli in the form of i</w:t>
      </w:r>
      <w:r w:rsidR="00F962EC">
        <w:t xml:space="preserve">ncreases </w:t>
      </w:r>
      <w:r w:rsidR="00C33346">
        <w:t xml:space="preserve">in </w:t>
      </w:r>
      <w:r w:rsidR="00F962EC">
        <w:t xml:space="preserve">undifferentiated public spending were found not suitable, given the bottlenecks in supply </w:t>
      </w:r>
      <w:r>
        <w:t>because</w:t>
      </w:r>
      <w:r w:rsidR="00F962EC">
        <w:t xml:space="preserve"> of Covid-19. </w:t>
      </w:r>
      <w:r w:rsidR="00C33346">
        <w:t xml:space="preserve">Measures to stimulate economic recovery have been limited. </w:t>
      </w:r>
      <w:r w:rsidR="00F962EC">
        <w:t>E</w:t>
      </w:r>
      <w:r w:rsidR="00713612">
        <w:t xml:space="preserve">mployment and labour market policies </w:t>
      </w:r>
      <w:r w:rsidR="0044416C">
        <w:t xml:space="preserve">were </w:t>
      </w:r>
      <w:r w:rsidR="00713612">
        <w:t xml:space="preserve">used </w:t>
      </w:r>
      <w:r>
        <w:t xml:space="preserve">conveniently </w:t>
      </w:r>
      <w:r w:rsidR="00713612">
        <w:t>at each of the main steps in the policy response</w:t>
      </w:r>
      <w:r w:rsidR="001038DF">
        <w:t>, in several cases engaging the social partners</w:t>
      </w:r>
      <w:r w:rsidR="009051A6">
        <w:t>.</w:t>
      </w:r>
      <w:r w:rsidR="0044416C">
        <w:t xml:space="preserve"> Some examples are given below. </w:t>
      </w:r>
    </w:p>
    <w:p w:rsidR="009051A6" w:rsidRDefault="009051A6" w:rsidP="00713612">
      <w:pPr>
        <w:pStyle w:val="ListParagraph"/>
        <w:spacing w:after="0" w:line="240" w:lineRule="auto"/>
        <w:ind w:left="0"/>
        <w:jc w:val="both"/>
      </w:pPr>
    </w:p>
    <w:p w:rsidR="009051A6" w:rsidRDefault="009E6CFD" w:rsidP="00713612">
      <w:pPr>
        <w:pStyle w:val="ListParagraph"/>
        <w:spacing w:after="0" w:line="240" w:lineRule="auto"/>
        <w:ind w:left="0"/>
        <w:jc w:val="both"/>
        <w:rPr>
          <w:b/>
        </w:rPr>
      </w:pPr>
      <w:r>
        <w:rPr>
          <w:b/>
        </w:rPr>
        <w:t xml:space="preserve">1. </w:t>
      </w:r>
      <w:r>
        <w:rPr>
          <w:b/>
        </w:rPr>
        <w:tab/>
      </w:r>
      <w:r w:rsidR="009051A6" w:rsidRPr="009051A6">
        <w:rPr>
          <w:b/>
        </w:rPr>
        <w:t>Health response</w:t>
      </w:r>
      <w:r w:rsidR="00713612" w:rsidRPr="009051A6">
        <w:rPr>
          <w:b/>
        </w:rPr>
        <w:t xml:space="preserve"> </w:t>
      </w:r>
    </w:p>
    <w:p w:rsidR="009051A6" w:rsidRDefault="009051A6" w:rsidP="00713612">
      <w:pPr>
        <w:pStyle w:val="ListParagraph"/>
        <w:spacing w:after="0" w:line="240" w:lineRule="auto"/>
        <w:ind w:left="0"/>
        <w:jc w:val="both"/>
        <w:rPr>
          <w:b/>
        </w:rPr>
      </w:pPr>
    </w:p>
    <w:p w:rsidR="001038DF" w:rsidRPr="008E5306" w:rsidRDefault="009E6CFD" w:rsidP="001038DF">
      <w:pPr>
        <w:pStyle w:val="ListParagraph"/>
        <w:numPr>
          <w:ilvl w:val="0"/>
          <w:numId w:val="1"/>
        </w:numPr>
        <w:jc w:val="both"/>
      </w:pPr>
      <w:r>
        <w:t>Extra spending and i</w:t>
      </w:r>
      <w:r w:rsidR="001038DF">
        <w:t>nvestment in health and care sector</w:t>
      </w:r>
    </w:p>
    <w:p w:rsidR="001038DF" w:rsidRDefault="001038DF" w:rsidP="001038DF">
      <w:pPr>
        <w:pStyle w:val="ListParagraph"/>
        <w:numPr>
          <w:ilvl w:val="0"/>
          <w:numId w:val="1"/>
        </w:numPr>
        <w:jc w:val="both"/>
      </w:pPr>
      <w:r w:rsidRPr="008E5306">
        <w:t>Accelerated procurement programmes</w:t>
      </w:r>
    </w:p>
    <w:p w:rsidR="001038DF" w:rsidRDefault="001038DF" w:rsidP="001038DF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A</w:t>
      </w:r>
      <w:r>
        <w:t>ccelerated training and recruitment of health and care workers</w:t>
      </w:r>
      <w:r w:rsidRPr="001038DF">
        <w:t xml:space="preserve"> </w:t>
      </w:r>
    </w:p>
    <w:p w:rsidR="001038DF" w:rsidRDefault="001038DF" w:rsidP="001038DF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VAT exemptions for medical equipment</w:t>
      </w:r>
    </w:p>
    <w:p w:rsidR="009051A6" w:rsidRDefault="001038DF" w:rsidP="001038DF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Social security and tax cuts for health workers</w:t>
      </w:r>
    </w:p>
    <w:p w:rsidR="001038DF" w:rsidRPr="001038DF" w:rsidRDefault="001038DF" w:rsidP="001038DF">
      <w:pPr>
        <w:pStyle w:val="ListParagraph"/>
        <w:numPr>
          <w:ilvl w:val="0"/>
          <w:numId w:val="1"/>
        </w:numPr>
      </w:pPr>
      <w:r w:rsidRPr="001038DF">
        <w:t>Remote working arrangements</w:t>
      </w:r>
    </w:p>
    <w:p w:rsidR="001038DF" w:rsidRDefault="001038DF" w:rsidP="001038DF">
      <w:pPr>
        <w:pStyle w:val="ListParagraph"/>
        <w:spacing w:after="0" w:line="240" w:lineRule="auto"/>
        <w:ind w:left="1080"/>
        <w:jc w:val="both"/>
      </w:pPr>
    </w:p>
    <w:p w:rsidR="009051A6" w:rsidRDefault="009E6CFD" w:rsidP="00713612">
      <w:pPr>
        <w:pStyle w:val="ListParagraph"/>
        <w:spacing w:after="0" w:line="240" w:lineRule="auto"/>
        <w:ind w:left="0"/>
        <w:jc w:val="both"/>
        <w:rPr>
          <w:b/>
        </w:rPr>
      </w:pPr>
      <w:r>
        <w:rPr>
          <w:b/>
        </w:rPr>
        <w:t>2.</w:t>
      </w:r>
      <w:r>
        <w:rPr>
          <w:b/>
        </w:rPr>
        <w:tab/>
      </w:r>
      <w:r w:rsidR="001038DF">
        <w:rPr>
          <w:b/>
        </w:rPr>
        <w:t>D</w:t>
      </w:r>
      <w:r w:rsidR="00183B1A" w:rsidRPr="00183B1A">
        <w:rPr>
          <w:b/>
        </w:rPr>
        <w:t>irect income support to households</w:t>
      </w:r>
      <w:r w:rsidR="00183B1A">
        <w:rPr>
          <w:b/>
        </w:rPr>
        <w:t>,</w:t>
      </w:r>
      <w:r w:rsidR="00183B1A" w:rsidRPr="00183B1A">
        <w:rPr>
          <w:b/>
        </w:rPr>
        <w:t xml:space="preserve"> workers and enterprise</w:t>
      </w:r>
    </w:p>
    <w:p w:rsidR="00183B1A" w:rsidRDefault="00183B1A" w:rsidP="00713612">
      <w:pPr>
        <w:pStyle w:val="ListParagraph"/>
        <w:spacing w:after="0" w:line="240" w:lineRule="auto"/>
        <w:ind w:left="0"/>
        <w:jc w:val="both"/>
        <w:rPr>
          <w:b/>
        </w:rPr>
      </w:pPr>
    </w:p>
    <w:p w:rsidR="009E6CFD" w:rsidRPr="008E5306" w:rsidRDefault="009E6CFD" w:rsidP="0044416C">
      <w:pPr>
        <w:spacing w:after="0"/>
        <w:ind w:left="720"/>
        <w:jc w:val="both"/>
      </w:pPr>
      <w:r w:rsidRPr="008E5306">
        <w:t>Enterprise</w:t>
      </w:r>
      <w:r>
        <w:t xml:space="preserve"> support</w:t>
      </w:r>
      <w:r w:rsidRPr="008E5306">
        <w:t xml:space="preserve"> </w:t>
      </w:r>
      <w:r>
        <w:t>and employment retention measures</w:t>
      </w:r>
    </w:p>
    <w:p w:rsidR="009E6CFD" w:rsidRDefault="009E6CFD" w:rsidP="0044416C">
      <w:pPr>
        <w:pStyle w:val="ListParagraph"/>
        <w:numPr>
          <w:ilvl w:val="0"/>
          <w:numId w:val="1"/>
        </w:numPr>
        <w:spacing w:after="0"/>
        <w:jc w:val="both"/>
      </w:pPr>
      <w:r>
        <w:t>T</w:t>
      </w:r>
      <w:r w:rsidRPr="008E5306">
        <w:t xml:space="preserve">ax relief, employment </w:t>
      </w:r>
      <w:r>
        <w:t xml:space="preserve">retention </w:t>
      </w:r>
      <w:r w:rsidRPr="008E5306">
        <w:t>subsidies</w:t>
      </w:r>
      <w:r>
        <w:t>,</w:t>
      </w:r>
      <w:r w:rsidRPr="008E5306">
        <w:t xml:space="preserve"> debt-repayment deferrals</w:t>
      </w:r>
      <w:r>
        <w:t>, l</w:t>
      </w:r>
      <w:r w:rsidRPr="008E5306">
        <w:t>oan guarantee funds, interest rate</w:t>
      </w:r>
      <w:r>
        <w:t xml:space="preserve"> waivers </w:t>
      </w:r>
      <w:r w:rsidRPr="008E5306">
        <w:t xml:space="preserve">or credit rating effects, </w:t>
      </w:r>
    </w:p>
    <w:p w:rsidR="009E6CFD" w:rsidRDefault="009E6CFD" w:rsidP="0044416C">
      <w:pPr>
        <w:pStyle w:val="ListParagraph"/>
        <w:numPr>
          <w:ilvl w:val="0"/>
          <w:numId w:val="1"/>
        </w:numPr>
        <w:spacing w:after="0"/>
        <w:jc w:val="both"/>
      </w:pPr>
      <w:r>
        <w:t>Support to r</w:t>
      </w:r>
      <w:r w:rsidRPr="008E5306">
        <w:t>etain</w:t>
      </w:r>
      <w:r>
        <w:t>ing</w:t>
      </w:r>
      <w:r w:rsidRPr="008E5306">
        <w:t xml:space="preserve"> employees: wage subsidy (full/partial), suspension of</w:t>
      </w:r>
      <w:r>
        <w:t xml:space="preserve"> taxes/</w:t>
      </w:r>
      <w:r w:rsidRPr="008E5306">
        <w:t>social security</w:t>
      </w:r>
      <w:r>
        <w:t xml:space="preserve"> </w:t>
      </w:r>
      <w:r w:rsidRPr="008E5306">
        <w:t xml:space="preserve">contributions, adapting workweek and work-sharing </w:t>
      </w:r>
    </w:p>
    <w:p w:rsidR="009E6CFD" w:rsidRDefault="009E6CFD" w:rsidP="009E6CFD">
      <w:pPr>
        <w:pStyle w:val="ListParagraph"/>
        <w:spacing w:after="0" w:line="240" w:lineRule="auto"/>
        <w:ind w:left="1440"/>
        <w:jc w:val="both"/>
      </w:pPr>
    </w:p>
    <w:p w:rsidR="009E6CFD" w:rsidRDefault="009E6CFD" w:rsidP="009E6CFD">
      <w:pPr>
        <w:spacing w:after="0" w:line="240" w:lineRule="auto"/>
        <w:ind w:left="720"/>
        <w:jc w:val="both"/>
      </w:pPr>
      <w:r w:rsidRPr="008E5306">
        <w:t>Soci</w:t>
      </w:r>
      <w:r>
        <w:t>al protection – income support</w:t>
      </w:r>
    </w:p>
    <w:p w:rsidR="009E6CFD" w:rsidRDefault="009E6CFD" w:rsidP="009E6CFD">
      <w:pPr>
        <w:pStyle w:val="ListParagraph"/>
        <w:numPr>
          <w:ilvl w:val="0"/>
          <w:numId w:val="3"/>
        </w:numPr>
        <w:spacing w:after="0" w:line="240" w:lineRule="auto"/>
        <w:jc w:val="both"/>
      </w:pPr>
      <w:r w:rsidRPr="008E5306">
        <w:t>Paid leave, securing access to health</w:t>
      </w:r>
      <w:r>
        <w:t xml:space="preserve"> insurance and coverage, health supply</w:t>
      </w:r>
    </w:p>
    <w:p w:rsidR="009E6CFD" w:rsidRPr="008E5306" w:rsidRDefault="009E6CFD" w:rsidP="009E6CFD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>Expanded coverage for unemployment insurance</w:t>
      </w:r>
      <w:r w:rsidRPr="008E5306">
        <w:t xml:space="preserve"> </w:t>
      </w:r>
    </w:p>
    <w:p w:rsidR="009E6CFD" w:rsidRDefault="009E6CFD" w:rsidP="009E6CFD">
      <w:pPr>
        <w:numPr>
          <w:ilvl w:val="0"/>
          <w:numId w:val="3"/>
        </w:numPr>
        <w:spacing w:after="0" w:line="240" w:lineRule="auto"/>
        <w:contextualSpacing/>
        <w:jc w:val="both"/>
      </w:pPr>
      <w:r w:rsidRPr="008E5306">
        <w:t xml:space="preserve">Income for household care responsibilities during school and care closures. </w:t>
      </w:r>
    </w:p>
    <w:p w:rsidR="009E6CFD" w:rsidRDefault="009E6CFD" w:rsidP="009E6CFD">
      <w:pPr>
        <w:numPr>
          <w:ilvl w:val="0"/>
          <w:numId w:val="3"/>
        </w:numPr>
        <w:spacing w:after="0" w:line="240" w:lineRule="auto"/>
        <w:contextualSpacing/>
        <w:jc w:val="both"/>
      </w:pPr>
      <w:r>
        <w:t>Cash transfers and f</w:t>
      </w:r>
      <w:r>
        <w:t xml:space="preserve">inancial relief for liquidity-constrained households </w:t>
      </w:r>
    </w:p>
    <w:p w:rsidR="009E6CFD" w:rsidRPr="008E5306" w:rsidRDefault="009E6CFD" w:rsidP="009E6CFD">
      <w:pPr>
        <w:spacing w:after="0" w:line="240" w:lineRule="auto"/>
        <w:ind w:left="1080"/>
        <w:contextualSpacing/>
        <w:jc w:val="both"/>
      </w:pPr>
    </w:p>
    <w:p w:rsidR="009E6CFD" w:rsidRPr="008E5306" w:rsidRDefault="009E6CFD" w:rsidP="009E6CFD">
      <w:pPr>
        <w:pStyle w:val="ListParagraph"/>
        <w:spacing w:after="0" w:line="240" w:lineRule="auto"/>
        <w:jc w:val="both"/>
      </w:pPr>
      <w:r w:rsidRPr="008E5306">
        <w:t>ALMPs</w:t>
      </w:r>
    </w:p>
    <w:p w:rsidR="009E6CFD" w:rsidRDefault="009E6CFD" w:rsidP="009E6CFD">
      <w:pPr>
        <w:pStyle w:val="ListParagraph"/>
        <w:numPr>
          <w:ilvl w:val="0"/>
          <w:numId w:val="4"/>
        </w:numPr>
        <w:spacing w:after="0" w:line="240" w:lineRule="auto"/>
        <w:ind w:left="10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Wage and employment s</w:t>
      </w:r>
      <w:r w:rsidRPr="006B4CEE">
        <w:rPr>
          <w:rFonts w:ascii="Calibri" w:hAnsi="Calibri" w:cs="Calibri"/>
        </w:rPr>
        <w:t xml:space="preserve">ubsidies </w:t>
      </w:r>
    </w:p>
    <w:p w:rsidR="009E6CFD" w:rsidRPr="006B4CEE" w:rsidRDefault="009E6CFD" w:rsidP="009E6CFD">
      <w:pPr>
        <w:pStyle w:val="ListParagraph"/>
        <w:numPr>
          <w:ilvl w:val="0"/>
          <w:numId w:val="4"/>
        </w:numPr>
        <w:spacing w:after="0" w:line="240" w:lineRule="auto"/>
        <w:ind w:left="10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Short-time working arrangements</w:t>
      </w:r>
      <w:r w:rsidRPr="006B4CEE">
        <w:rPr>
          <w:rFonts w:ascii="Calibri" w:hAnsi="Calibri" w:cs="Calibri"/>
        </w:rPr>
        <w:t xml:space="preserve"> </w:t>
      </w:r>
    </w:p>
    <w:p w:rsidR="009E6CFD" w:rsidRPr="006B4CEE" w:rsidRDefault="009E6CFD" w:rsidP="009E6CFD">
      <w:pPr>
        <w:numPr>
          <w:ilvl w:val="0"/>
          <w:numId w:val="4"/>
        </w:numPr>
        <w:spacing w:after="0" w:line="240" w:lineRule="auto"/>
        <w:ind w:left="1080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</w:t>
      </w:r>
      <w:r w:rsidRPr="006B4CEE">
        <w:rPr>
          <w:rFonts w:ascii="Calibri" w:hAnsi="Calibri" w:cs="Calibri"/>
        </w:rPr>
        <w:t>etrenchment packages</w:t>
      </w:r>
    </w:p>
    <w:p w:rsidR="009E6CFD" w:rsidRDefault="009E6CFD" w:rsidP="009E6CFD">
      <w:pPr>
        <w:numPr>
          <w:ilvl w:val="0"/>
          <w:numId w:val="4"/>
        </w:numPr>
        <w:spacing w:after="0" w:line="240" w:lineRule="auto"/>
        <w:ind w:left="1080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Employment protection legislation</w:t>
      </w:r>
    </w:p>
    <w:p w:rsidR="009E6CFD" w:rsidRPr="006B4CEE" w:rsidRDefault="009E6CFD" w:rsidP="009E6CFD">
      <w:pPr>
        <w:numPr>
          <w:ilvl w:val="0"/>
          <w:numId w:val="4"/>
        </w:numPr>
        <w:spacing w:after="0" w:line="240" w:lineRule="auto"/>
        <w:ind w:left="1080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Employment counselling and guidance</w:t>
      </w:r>
    </w:p>
    <w:p w:rsidR="00183B1A" w:rsidRDefault="00183B1A" w:rsidP="00713612">
      <w:pPr>
        <w:pStyle w:val="ListParagraph"/>
        <w:spacing w:after="0" w:line="240" w:lineRule="auto"/>
        <w:ind w:left="0"/>
        <w:jc w:val="both"/>
        <w:rPr>
          <w:b/>
        </w:rPr>
      </w:pPr>
    </w:p>
    <w:p w:rsidR="00183B1A" w:rsidRPr="00183B1A" w:rsidRDefault="00C33346" w:rsidP="00713612">
      <w:pPr>
        <w:pStyle w:val="ListParagraph"/>
        <w:spacing w:after="0" w:line="240" w:lineRule="auto"/>
        <w:ind w:left="0"/>
        <w:jc w:val="both"/>
        <w:rPr>
          <w:b/>
        </w:rPr>
      </w:pPr>
      <w:r>
        <w:rPr>
          <w:b/>
        </w:rPr>
        <w:t>3.</w:t>
      </w:r>
      <w:r>
        <w:rPr>
          <w:b/>
        </w:rPr>
        <w:tab/>
      </w:r>
      <w:r w:rsidR="001E61E9">
        <w:rPr>
          <w:b/>
        </w:rPr>
        <w:t>Macroeconomic response</w:t>
      </w:r>
    </w:p>
    <w:p w:rsidR="00713612" w:rsidRDefault="00713612" w:rsidP="00713612">
      <w:pPr>
        <w:pStyle w:val="ListParagraph"/>
        <w:spacing w:after="0" w:line="240" w:lineRule="auto"/>
        <w:ind w:left="0"/>
        <w:jc w:val="both"/>
        <w:rPr>
          <w:b/>
        </w:rPr>
      </w:pPr>
    </w:p>
    <w:p w:rsidR="009E6CFD" w:rsidRDefault="00713612" w:rsidP="00713612">
      <w:pPr>
        <w:pStyle w:val="ListParagraph"/>
        <w:numPr>
          <w:ilvl w:val="0"/>
          <w:numId w:val="1"/>
        </w:numPr>
        <w:jc w:val="both"/>
      </w:pPr>
      <w:r w:rsidRPr="008E5306">
        <w:t xml:space="preserve">Monetary policy and interest rates, reserve rates, </w:t>
      </w:r>
    </w:p>
    <w:p w:rsidR="009E6CFD" w:rsidRDefault="009E6CFD" w:rsidP="00713612">
      <w:pPr>
        <w:pStyle w:val="ListParagraph"/>
        <w:numPr>
          <w:ilvl w:val="0"/>
          <w:numId w:val="1"/>
        </w:numPr>
        <w:jc w:val="both"/>
      </w:pPr>
      <w:r>
        <w:t>State loan guarantees and lending support measures</w:t>
      </w:r>
    </w:p>
    <w:p w:rsidR="00713612" w:rsidRPr="008E5306" w:rsidRDefault="009E6CFD" w:rsidP="00713612">
      <w:pPr>
        <w:pStyle w:val="ListParagraph"/>
        <w:numPr>
          <w:ilvl w:val="0"/>
          <w:numId w:val="1"/>
        </w:numPr>
        <w:jc w:val="both"/>
      </w:pPr>
      <w:r>
        <w:t>C</w:t>
      </w:r>
      <w:r w:rsidR="00713612" w:rsidRPr="008E5306">
        <w:t>urrency swing management and FX spread limits</w:t>
      </w:r>
    </w:p>
    <w:p w:rsidR="009E6CFD" w:rsidRDefault="009E6CFD" w:rsidP="00713612">
      <w:pPr>
        <w:pStyle w:val="ListParagraph"/>
        <w:numPr>
          <w:ilvl w:val="0"/>
          <w:numId w:val="1"/>
        </w:numPr>
        <w:jc w:val="both"/>
      </w:pPr>
      <w:r>
        <w:lastRenderedPageBreak/>
        <w:t>Capital controls</w:t>
      </w:r>
    </w:p>
    <w:p w:rsidR="009E6CFD" w:rsidRDefault="009E6CFD" w:rsidP="00713612">
      <w:pPr>
        <w:pStyle w:val="ListParagraph"/>
        <w:numPr>
          <w:ilvl w:val="0"/>
          <w:numId w:val="1"/>
        </w:numPr>
        <w:jc w:val="both"/>
      </w:pPr>
      <w:r>
        <w:t>Targeted f</w:t>
      </w:r>
      <w:r w:rsidR="00713612">
        <w:t>inancial relief, including bailouts, bridging loans and grants</w:t>
      </w:r>
    </w:p>
    <w:p w:rsidR="00713612" w:rsidRPr="00C33346" w:rsidRDefault="00713612" w:rsidP="009E6CFD">
      <w:pPr>
        <w:jc w:val="both"/>
        <w:rPr>
          <w:b/>
        </w:rPr>
      </w:pPr>
      <w:r>
        <w:t xml:space="preserve"> </w:t>
      </w:r>
      <w:r w:rsidR="00C33346">
        <w:t>4.</w:t>
      </w:r>
      <w:r w:rsidR="00C33346">
        <w:tab/>
      </w:r>
      <w:r w:rsidR="00C33346">
        <w:rPr>
          <w:b/>
        </w:rPr>
        <w:t xml:space="preserve">Measures to accelerate return to growth and employment </w:t>
      </w:r>
    </w:p>
    <w:p w:rsidR="00C33346" w:rsidRDefault="00C33346" w:rsidP="00713612">
      <w:pPr>
        <w:pStyle w:val="ListParagraph"/>
        <w:numPr>
          <w:ilvl w:val="0"/>
          <w:numId w:val="1"/>
        </w:numPr>
        <w:jc w:val="both"/>
      </w:pPr>
      <w:r>
        <w:t>Exit strategies, ie considering ways to minimize the impact and/or lifting containment measures</w:t>
      </w:r>
    </w:p>
    <w:p w:rsidR="00C33346" w:rsidRDefault="00C33346" w:rsidP="00713612">
      <w:pPr>
        <w:pStyle w:val="ListParagraph"/>
        <w:numPr>
          <w:ilvl w:val="0"/>
          <w:numId w:val="1"/>
        </w:numPr>
        <w:jc w:val="both"/>
      </w:pPr>
      <w:r>
        <w:t>Supporting reprogramming of production to medical equipment</w:t>
      </w:r>
      <w:r w:rsidR="00C2414C">
        <w:t xml:space="preserve"> and other immediate needs (eg import substitution)</w:t>
      </w:r>
      <w:bookmarkStart w:id="0" w:name="_GoBack"/>
      <w:bookmarkEnd w:id="0"/>
    </w:p>
    <w:p w:rsidR="00C33346" w:rsidRPr="00C33346" w:rsidRDefault="00713612" w:rsidP="00B10F44">
      <w:pPr>
        <w:pStyle w:val="ListParagraph"/>
        <w:numPr>
          <w:ilvl w:val="0"/>
          <w:numId w:val="4"/>
        </w:numPr>
        <w:spacing w:after="0" w:line="240" w:lineRule="auto"/>
        <w:ind w:left="1080"/>
        <w:jc w:val="both"/>
        <w:rPr>
          <w:rFonts w:ascii="Calibri" w:hAnsi="Calibri" w:cs="Calibri"/>
        </w:rPr>
      </w:pPr>
      <w:r w:rsidRPr="008E5306">
        <w:t xml:space="preserve">Securing primary and intermediary inputs </w:t>
      </w:r>
      <w:r>
        <w:t>for</w:t>
      </w:r>
      <w:r w:rsidRPr="008E5306">
        <w:t xml:space="preserve"> production</w:t>
      </w:r>
      <w:r w:rsidR="00C33346">
        <w:t xml:space="preserve"> including through trade channels</w:t>
      </w:r>
    </w:p>
    <w:p w:rsidR="00C33346" w:rsidRPr="0044416C" w:rsidRDefault="00C33346" w:rsidP="00B10F44">
      <w:pPr>
        <w:pStyle w:val="ListParagraph"/>
        <w:numPr>
          <w:ilvl w:val="0"/>
          <w:numId w:val="4"/>
        </w:numPr>
        <w:spacing w:after="0" w:line="240" w:lineRule="auto"/>
        <w:ind w:left="1080"/>
        <w:jc w:val="both"/>
        <w:rPr>
          <w:rFonts w:ascii="Calibri" w:hAnsi="Calibri" w:cs="Calibri"/>
        </w:rPr>
      </w:pPr>
      <w:r>
        <w:t>Hiring subsidies in targeted sectors</w:t>
      </w:r>
    </w:p>
    <w:p w:rsidR="0044416C" w:rsidRPr="00C33346" w:rsidRDefault="0044416C" w:rsidP="00B10F44">
      <w:pPr>
        <w:pStyle w:val="ListParagraph"/>
        <w:numPr>
          <w:ilvl w:val="0"/>
          <w:numId w:val="4"/>
        </w:numPr>
        <w:spacing w:after="0" w:line="240" w:lineRule="auto"/>
        <w:ind w:left="1080"/>
        <w:jc w:val="both"/>
        <w:rPr>
          <w:rFonts w:ascii="Calibri" w:hAnsi="Calibri" w:cs="Calibri"/>
        </w:rPr>
      </w:pPr>
      <w:r>
        <w:t>Support to workers training/retraining</w:t>
      </w:r>
    </w:p>
    <w:p w:rsidR="009E6CFD" w:rsidRDefault="009E6CFD" w:rsidP="00B10F44">
      <w:pPr>
        <w:pStyle w:val="ListParagraph"/>
        <w:numPr>
          <w:ilvl w:val="0"/>
          <w:numId w:val="4"/>
        </w:numPr>
        <w:spacing w:after="0" w:line="240" w:lineRule="auto"/>
        <w:ind w:left="1080"/>
        <w:jc w:val="both"/>
        <w:rPr>
          <w:rFonts w:ascii="Calibri" w:hAnsi="Calibri" w:cs="Calibri"/>
        </w:rPr>
      </w:pPr>
      <w:r w:rsidRPr="00C33346">
        <w:rPr>
          <w:rFonts w:ascii="Calibri" w:hAnsi="Calibri" w:cs="Calibri"/>
        </w:rPr>
        <w:t>Public employment programmes/employment guarantees subject to social distancing measures</w:t>
      </w:r>
    </w:p>
    <w:p w:rsidR="0044416C" w:rsidRDefault="0044416C" w:rsidP="0044416C">
      <w:pPr>
        <w:spacing w:after="0" w:line="240" w:lineRule="auto"/>
        <w:jc w:val="both"/>
        <w:rPr>
          <w:rFonts w:ascii="Calibri" w:hAnsi="Calibri" w:cs="Calibri"/>
        </w:rPr>
      </w:pPr>
    </w:p>
    <w:p w:rsidR="00C33346" w:rsidRDefault="0044416C" w:rsidP="0044416C">
      <w:pPr>
        <w:spacing w:after="0" w:line="240" w:lineRule="auto"/>
        <w:jc w:val="both"/>
      </w:pPr>
      <w:r>
        <w:rPr>
          <w:rFonts w:ascii="Calibri" w:hAnsi="Calibri" w:cs="Calibri"/>
          <w:b/>
        </w:rPr>
        <w:t>5.</w:t>
      </w:r>
      <w:r>
        <w:rPr>
          <w:rFonts w:ascii="Calibri" w:hAnsi="Calibri" w:cs="Calibri"/>
          <w:b/>
        </w:rPr>
        <w:tab/>
        <w:t>Coordination, communication and social dialogue for putting in place employment and labour market policies</w:t>
      </w:r>
    </w:p>
    <w:sectPr w:rsidR="00C333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65CCC"/>
    <w:multiLevelType w:val="hybridMultilevel"/>
    <w:tmpl w:val="6240BC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5C4A57"/>
    <w:multiLevelType w:val="hybridMultilevel"/>
    <w:tmpl w:val="48847E1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881E5A"/>
    <w:multiLevelType w:val="hybridMultilevel"/>
    <w:tmpl w:val="3072EBC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5C74E17"/>
    <w:multiLevelType w:val="hybridMultilevel"/>
    <w:tmpl w:val="7EDC2C5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63F2E2D"/>
    <w:multiLevelType w:val="hybridMultilevel"/>
    <w:tmpl w:val="84C608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12"/>
    <w:rsid w:val="001038DF"/>
    <w:rsid w:val="00183B1A"/>
    <w:rsid w:val="001E61E9"/>
    <w:rsid w:val="00313A64"/>
    <w:rsid w:val="0044416C"/>
    <w:rsid w:val="00713612"/>
    <w:rsid w:val="009051A6"/>
    <w:rsid w:val="009E6CFD"/>
    <w:rsid w:val="00C2414C"/>
    <w:rsid w:val="00C33346"/>
    <w:rsid w:val="00E324D2"/>
    <w:rsid w:val="00F9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43455"/>
  <w15:chartTrackingRefBased/>
  <w15:docId w15:val="{6770EE9C-150F-4C90-8480-90E95DB9F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6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ist Paragraph1,List Paragraph11,L"/>
    <w:basedOn w:val="Normal"/>
    <w:link w:val="ListParagraphChar"/>
    <w:uiPriority w:val="34"/>
    <w:qFormat/>
    <w:rsid w:val="00713612"/>
    <w:pPr>
      <w:ind w:left="720"/>
      <w:contextualSpacing/>
    </w:pPr>
  </w:style>
  <w:style w:type="character" w:customStyle="1" w:styleId="ListParagraphChar">
    <w:name w:val="List Paragraph Char"/>
    <w:aliases w:val="Recommendation Char,List Paragraph1 Char,List Paragraph11 Char,L Char"/>
    <w:basedOn w:val="DefaultParagraphFont"/>
    <w:link w:val="ListParagraph"/>
    <w:uiPriority w:val="34"/>
    <w:locked/>
    <w:rsid w:val="00713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ILO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Parisotto, Aurelio</dc:creator>
  <cp:keywords/>
  <dc:description/>
  <cp:lastModifiedBy>Parisotto, Aurelio</cp:lastModifiedBy>
  <cp:revision>3</cp:revision>
  <dcterms:created xsi:type="dcterms:W3CDTF">2020-04-08T11:50:00Z</dcterms:created>
  <dcterms:modified xsi:type="dcterms:W3CDTF">2020-04-08T13:18:00Z</dcterms:modified>
</cp:coreProperties>
</file>